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A55F2" w14:textId="010E3E95" w:rsidR="00BB0D7F" w:rsidRDefault="00BB0D7F" w:rsidP="00BB0D7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bookmarkStart w:id="0" w:name="_Ref462675860"/>
      <w:bookmarkStart w:id="1" w:name="_Ref465963108"/>
      <w:r w:rsidRPr="0C1B321D">
        <w:rPr>
          <w:b/>
          <w:bCs/>
          <w:noProof/>
          <w:sz w:val="24"/>
          <w:szCs w:val="24"/>
        </w:rPr>
        <w:t>3GPP TSG-RAN4 Meeting #11</w:t>
      </w:r>
      <w:r>
        <w:rPr>
          <w:b/>
          <w:bCs/>
          <w:noProof/>
          <w:sz w:val="24"/>
          <w:szCs w:val="24"/>
        </w:rPr>
        <w:t>2bis</w:t>
      </w:r>
      <w:r>
        <w:tab/>
      </w:r>
      <w:r w:rsidR="0093672C" w:rsidRPr="0093672C">
        <w:rPr>
          <w:b/>
          <w:bCs/>
          <w:noProof/>
          <w:sz w:val="24"/>
          <w:szCs w:val="24"/>
        </w:rPr>
        <w:t>R4-2415468</w:t>
      </w:r>
    </w:p>
    <w:p w14:paraId="791013D3" w14:textId="4DC02DBC" w:rsidR="00510EC7" w:rsidRPr="00B144E9" w:rsidRDefault="00BB0D7F" w:rsidP="00BB0D7F">
      <w:pPr>
        <w:rPr>
          <w:rFonts w:ascii="Arial" w:hAnsi="Arial" w:cs="Arial"/>
          <w:b/>
          <w:noProof/>
          <w:sz w:val="24"/>
          <w:szCs w:val="24"/>
        </w:rPr>
      </w:pPr>
      <w:r w:rsidRPr="00A01738">
        <w:rPr>
          <w:rFonts w:ascii="Arial" w:hAnsi="Arial" w:cs="Arial"/>
          <w:b/>
          <w:sz w:val="24"/>
          <w:szCs w:val="24"/>
          <w:lang w:eastAsia="zh-CN"/>
        </w:rPr>
        <w:t>Hefei,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China</w:t>
      </w:r>
      <w:r w:rsidRPr="0C1B321D">
        <w:rPr>
          <w:rFonts w:ascii="Arial" w:hAnsi="Arial" w:cs="Arial"/>
          <w:b/>
          <w:bCs/>
          <w:sz w:val="24"/>
          <w:szCs w:val="24"/>
          <w:lang w:eastAsia="zh-CN"/>
        </w:rPr>
        <w:t>, 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4</w:t>
      </w:r>
      <w:r w:rsidRPr="0C1B321D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C1B321D">
        <w:rPr>
          <w:rFonts w:ascii="Arial" w:hAnsi="Arial" w:cs="Arial"/>
          <w:b/>
          <w:bCs/>
          <w:sz w:val="24"/>
          <w:szCs w:val="24"/>
          <w:lang w:eastAsia="zh-CN"/>
        </w:rPr>
        <w:t xml:space="preserve"> –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Pr="0C1B321D">
        <w:rPr>
          <w:rFonts w:ascii="Arial" w:hAnsi="Arial" w:cs="Arial"/>
          <w:b/>
          <w:bCs/>
          <w:sz w:val="24"/>
          <w:szCs w:val="24"/>
          <w:lang w:eastAsia="zh-CN"/>
        </w:rPr>
        <w:t>1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 w:rsidRPr="0C1B321D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C1B321D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October</w:t>
      </w:r>
      <w:r w:rsidRPr="0C1B321D">
        <w:rPr>
          <w:rFonts w:ascii="Arial" w:hAnsi="Arial" w:cs="Arial"/>
          <w:b/>
          <w:bCs/>
          <w:sz w:val="24"/>
          <w:szCs w:val="24"/>
          <w:lang w:eastAsia="zh-CN"/>
        </w:rPr>
        <w:t>, 2024</w:t>
      </w:r>
      <w:r w:rsidR="00510EC7">
        <w:rPr>
          <w:rFonts w:cs="Arial"/>
          <w:b/>
          <w:sz w:val="24"/>
        </w:rPr>
        <w:br/>
      </w:r>
    </w:p>
    <w:p w14:paraId="78D5754B" w14:textId="197310C0" w:rsidR="00510EC7" w:rsidRPr="00785E35" w:rsidRDefault="00510EC7" w:rsidP="00510EC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Agenda item:</w:t>
      </w:r>
      <w:r w:rsidRPr="00785E35">
        <w:rPr>
          <w:rFonts w:ascii="Arial" w:hAnsi="Arial"/>
          <w:sz w:val="24"/>
        </w:rPr>
        <w:tab/>
      </w:r>
      <w:bookmarkStart w:id="2" w:name="Source"/>
      <w:bookmarkEnd w:id="2"/>
      <w:r w:rsidR="00C82506">
        <w:rPr>
          <w:rFonts w:ascii="Arial" w:hAnsi="Arial"/>
          <w:sz w:val="24"/>
        </w:rPr>
        <w:t>6</w:t>
      </w:r>
      <w:r>
        <w:rPr>
          <w:rFonts w:ascii="Arial" w:hAnsi="Arial"/>
          <w:sz w:val="24"/>
        </w:rPr>
        <w:t>.</w:t>
      </w:r>
      <w:r w:rsidR="00C82506">
        <w:rPr>
          <w:rFonts w:ascii="Arial" w:hAnsi="Arial"/>
          <w:sz w:val="24"/>
        </w:rPr>
        <w:t>20</w:t>
      </w:r>
      <w:r>
        <w:rPr>
          <w:rFonts w:ascii="Arial" w:hAnsi="Arial"/>
          <w:sz w:val="24"/>
        </w:rPr>
        <w:t>.</w:t>
      </w:r>
      <w:r w:rsidR="0094195C">
        <w:rPr>
          <w:rFonts w:ascii="Arial" w:hAnsi="Arial"/>
          <w:sz w:val="24"/>
        </w:rPr>
        <w:t>2.</w:t>
      </w:r>
      <w:r>
        <w:rPr>
          <w:rFonts w:ascii="Arial" w:hAnsi="Arial"/>
          <w:sz w:val="24"/>
        </w:rPr>
        <w:t>1</w:t>
      </w:r>
    </w:p>
    <w:p w14:paraId="3001B0F6" w14:textId="77777777" w:rsidR="00510EC7" w:rsidRPr="00785E35" w:rsidRDefault="00510EC7" w:rsidP="00510EC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 xml:space="preserve">Source: </w:t>
      </w:r>
      <w:r w:rsidRPr="00785E35">
        <w:rPr>
          <w:rFonts w:ascii="Arial" w:hAnsi="Arial"/>
          <w:b/>
          <w:sz w:val="24"/>
        </w:rPr>
        <w:tab/>
      </w:r>
      <w:r w:rsidRPr="00785E35">
        <w:rPr>
          <w:rFonts w:ascii="Arial" w:hAnsi="Arial"/>
          <w:sz w:val="24"/>
        </w:rPr>
        <w:t>Qualcomm Incorporated</w:t>
      </w:r>
    </w:p>
    <w:p w14:paraId="4BEEAACD" w14:textId="19C42365" w:rsidR="00510EC7" w:rsidRPr="00785E35" w:rsidRDefault="00510EC7" w:rsidP="00510EC7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85E35">
        <w:rPr>
          <w:rFonts w:ascii="Arial" w:hAnsi="Arial"/>
          <w:b/>
          <w:color w:val="000000" w:themeColor="text1"/>
          <w:sz w:val="24"/>
        </w:rPr>
        <w:t>Title:</w:t>
      </w:r>
      <w:r w:rsidRPr="00785E35">
        <w:rPr>
          <w:rFonts w:ascii="Arial" w:hAnsi="Arial"/>
          <w:color w:val="000000" w:themeColor="text1"/>
          <w:sz w:val="24"/>
        </w:rPr>
        <w:t xml:space="preserve"> </w:t>
      </w:r>
      <w:r w:rsidRPr="00785E35">
        <w:rPr>
          <w:rFonts w:ascii="Arial" w:hAnsi="Arial"/>
          <w:color w:val="000000" w:themeColor="text1"/>
          <w:sz w:val="22"/>
        </w:rPr>
        <w:tab/>
      </w:r>
      <w:r>
        <w:rPr>
          <w:rFonts w:ascii="Arial" w:hAnsi="Arial"/>
          <w:sz w:val="24"/>
        </w:rPr>
        <w:t>Views on new requirements for SBFD</w:t>
      </w:r>
    </w:p>
    <w:p w14:paraId="1E1B67B8" w14:textId="77777777" w:rsidR="00510EC7" w:rsidRPr="00785E35" w:rsidRDefault="00510EC7" w:rsidP="00510EC7">
      <w:pPr>
        <w:ind w:left="1988" w:hanging="1988"/>
        <w:jc w:val="both"/>
        <w:rPr>
          <w:rFonts w:ascii="Arial" w:hAnsi="Arial"/>
          <w:sz w:val="24"/>
        </w:rPr>
      </w:pPr>
      <w:r w:rsidRPr="00785E35">
        <w:rPr>
          <w:rFonts w:ascii="Arial" w:hAnsi="Arial"/>
          <w:b/>
          <w:sz w:val="24"/>
        </w:rPr>
        <w:t>Document for:</w:t>
      </w:r>
      <w:r w:rsidRPr="00785E35"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 xml:space="preserve">Approval </w:t>
      </w:r>
    </w:p>
    <w:p w14:paraId="57A32C14" w14:textId="77777777" w:rsidR="00A37CEF" w:rsidRPr="00785E35" w:rsidRDefault="00A37CEF" w:rsidP="002A0877">
      <w:pPr>
        <w:pStyle w:val="Heading1"/>
        <w:jc w:val="both"/>
      </w:pPr>
      <w:r w:rsidRPr="00785E35">
        <w:t>Introduction</w:t>
      </w:r>
      <w:bookmarkEnd w:id="0"/>
      <w:bookmarkEnd w:id="1"/>
    </w:p>
    <w:p w14:paraId="16D1D869" w14:textId="400BAE13" w:rsidR="00A37CEF" w:rsidRPr="005C6CB9" w:rsidRDefault="00A37CEF" w:rsidP="002A0877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2A0877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23172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BS RF requirements for SBFD operation at gNB [RAN4]</w:t>
            </w:r>
          </w:p>
        </w:tc>
      </w:tr>
    </w:tbl>
    <w:p w14:paraId="3EC9F8B3" w14:textId="77777777" w:rsidR="00A37CEF" w:rsidRPr="00785E35" w:rsidRDefault="00A37CEF" w:rsidP="002A0877">
      <w:pPr>
        <w:jc w:val="both"/>
      </w:pPr>
    </w:p>
    <w:p w14:paraId="6556B6C7" w14:textId="3B2D7222" w:rsidR="00A37CEF" w:rsidRDefault="0023172D" w:rsidP="002A0877">
      <w:pPr>
        <w:jc w:val="both"/>
      </w:pPr>
      <w:r>
        <w:t xml:space="preserve">In RAN4#110-bis, a WF was agreed in [2]. </w:t>
      </w:r>
      <w:r w:rsidR="00A37CEF">
        <w:t xml:space="preserve">In this contribution we </w:t>
      </w:r>
      <w:r w:rsidR="00EB7153">
        <w:t xml:space="preserve">share our views on </w:t>
      </w:r>
      <w:r w:rsidR="002E21FA">
        <w:t xml:space="preserve">existing BS RF requirements </w:t>
      </w:r>
      <w:r w:rsidR="00EF49CD">
        <w:t xml:space="preserve">for Rel-19 SBFD. </w:t>
      </w:r>
    </w:p>
    <w:p w14:paraId="4228B7A0" w14:textId="220B932A" w:rsidR="00275BBE" w:rsidRPr="0031380B" w:rsidRDefault="00EF476A" w:rsidP="0031380B">
      <w:pPr>
        <w:pStyle w:val="Heading1"/>
      </w:pPr>
      <w:r>
        <w:t>New</w:t>
      </w:r>
      <w:r w:rsidR="00540B8E">
        <w:t xml:space="preserve"> </w:t>
      </w:r>
      <w:r w:rsidR="001F7C18">
        <w:t xml:space="preserve">BS </w:t>
      </w:r>
      <w:r w:rsidR="00275C28">
        <w:t>RF requirements</w:t>
      </w:r>
      <w:r>
        <w:t xml:space="preserve"> for SBFD operation </w:t>
      </w:r>
      <w:r w:rsidR="00D81C2B" w:rsidRPr="00E60F3D">
        <w:rPr>
          <w:b/>
          <w:bCs/>
        </w:rPr>
        <w:t xml:space="preserve"> </w:t>
      </w:r>
      <w:r w:rsidR="00676CAA" w:rsidRPr="00E60F3D">
        <w:rPr>
          <w:b/>
          <w:bCs/>
        </w:rPr>
        <w:t xml:space="preserve"> </w:t>
      </w:r>
    </w:p>
    <w:p w14:paraId="1B48B570" w14:textId="61C7430A" w:rsidR="006141CE" w:rsidRDefault="0031380B" w:rsidP="00275BBE">
      <w:pPr>
        <w:rPr>
          <w:lang w:val="en-GB"/>
        </w:rPr>
      </w:pPr>
      <w:r>
        <w:rPr>
          <w:lang w:val="en-GB"/>
        </w:rPr>
        <w:t>I</w:t>
      </w:r>
      <w:r w:rsidR="006141CE">
        <w:rPr>
          <w:lang w:val="en-GB"/>
        </w:rPr>
        <w:t>n [2], the following was agreed regarding the potentially new in-channel adjacent subband leakage ratio: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141CE" w:rsidRPr="007311B6" w14:paraId="7867AE7C" w14:textId="77777777" w:rsidTr="006141CE">
        <w:tc>
          <w:tcPr>
            <w:tcW w:w="9962" w:type="dxa"/>
          </w:tcPr>
          <w:p w14:paraId="67171C64" w14:textId="77777777" w:rsidR="006141CE" w:rsidRPr="007311B6" w:rsidRDefault="006141CE" w:rsidP="007311B6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ind w:hanging="357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>FFS the necessity of in-channel adjacent subband leakage ratio requirements</w:t>
            </w:r>
          </w:p>
          <w:p w14:paraId="7CA90D67" w14:textId="77777777" w:rsidR="006141CE" w:rsidRPr="007311B6" w:rsidRDefault="006141CE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ind w:hanging="357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Option 1: No necessity to introduce new requirement for in-channel adjacent subband leakage ratio. </w:t>
            </w:r>
          </w:p>
          <w:p w14:paraId="7C7429E4" w14:textId="77777777" w:rsidR="006141CE" w:rsidRPr="007311B6" w:rsidRDefault="006141CE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ind w:hanging="357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Option 2: New requirement for in-channel adjacent subband leakage ratio should be defined. </w:t>
            </w:r>
          </w:p>
          <w:p w14:paraId="545D46DB" w14:textId="77777777" w:rsidR="006141CE" w:rsidRDefault="006141CE" w:rsidP="007311B6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ind w:hanging="357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Define a requirement on TX sub-band ACLR </w:t>
            </w:r>
            <w:proofErr w:type="gramStart"/>
            <w:r w:rsidRPr="007311B6">
              <w:rPr>
                <w:rFonts w:ascii="Times New Roman" w:eastAsia="SimSun" w:hAnsi="Times New Roman"/>
                <w:sz w:val="20"/>
                <w:szCs w:val="20"/>
              </w:rPr>
              <w:t>similar to</w:t>
            </w:r>
            <w:proofErr w:type="gramEnd"/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 the ACLR requirement and use existing ACLR requirement as baseline.</w:t>
            </w:r>
          </w:p>
          <w:p w14:paraId="251E47A3" w14:textId="77777777" w:rsidR="007311B6" w:rsidRPr="007311B6" w:rsidRDefault="007311B6" w:rsidP="007311B6">
            <w:pPr>
              <w:pStyle w:val="ListParagraph"/>
              <w:overflowPunct w:val="0"/>
              <w:autoSpaceDE w:val="0"/>
              <w:autoSpaceDN w:val="0"/>
              <w:adjustRightInd w:val="0"/>
              <w:spacing w:before="0"/>
              <w:ind w:left="1800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</w:p>
          <w:p w14:paraId="0AC9EEA4" w14:textId="77777777" w:rsidR="000D1A15" w:rsidRPr="007311B6" w:rsidRDefault="000D1A15" w:rsidP="007311B6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>FFS the necessity of in-channel adjacent subband selectivity requirements</w:t>
            </w:r>
          </w:p>
          <w:p w14:paraId="7FD4B914" w14:textId="77777777" w:rsidR="000D1A15" w:rsidRPr="007311B6" w:rsidRDefault="000D1A15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Option 1: No necessity to introduce new requirement for in-channel adjacent subband selectivity. </w:t>
            </w:r>
          </w:p>
          <w:p w14:paraId="1ECD3A9D" w14:textId="77777777" w:rsidR="000D1A15" w:rsidRPr="007311B6" w:rsidRDefault="000D1A15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Option 2: New requirement for in-channel adjacent subband selectivity should be defined. </w:t>
            </w:r>
          </w:p>
          <w:p w14:paraId="424E66BC" w14:textId="77777777" w:rsidR="000D1A15" w:rsidRDefault="000D1A15" w:rsidP="007311B6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Define a requirement on RX sub-band ACS </w:t>
            </w:r>
            <w:proofErr w:type="gramStart"/>
            <w:r w:rsidRPr="007311B6">
              <w:rPr>
                <w:rFonts w:ascii="Times New Roman" w:eastAsia="SimSun" w:hAnsi="Times New Roman"/>
                <w:sz w:val="20"/>
                <w:szCs w:val="20"/>
              </w:rPr>
              <w:t>similar to</w:t>
            </w:r>
            <w:proofErr w:type="gramEnd"/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 the ACS requirement and use existing ACS requirement as baseline.</w:t>
            </w:r>
          </w:p>
          <w:p w14:paraId="411A705E" w14:textId="77777777" w:rsidR="007311B6" w:rsidRPr="007311B6" w:rsidRDefault="007311B6" w:rsidP="007311B6">
            <w:pPr>
              <w:pStyle w:val="ListParagraph"/>
              <w:overflowPunct w:val="0"/>
              <w:autoSpaceDE w:val="0"/>
              <w:autoSpaceDN w:val="0"/>
              <w:adjustRightInd w:val="0"/>
              <w:spacing w:before="0"/>
              <w:ind w:left="1800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</w:p>
          <w:p w14:paraId="273C37BC" w14:textId="77777777" w:rsidR="007311B6" w:rsidRPr="007311B6" w:rsidRDefault="007311B6" w:rsidP="007311B6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FFS the necessity of in-channel adjacent subband </w:t>
            </w:r>
            <w:r w:rsidRPr="007311B6">
              <w:rPr>
                <w:rFonts w:ascii="Times New Roman" w:hAnsi="Times New Roman"/>
                <w:sz w:val="20"/>
                <w:szCs w:val="20"/>
              </w:rPr>
              <w:t xml:space="preserve">blocking </w:t>
            </w:r>
            <w:r w:rsidRPr="007311B6">
              <w:rPr>
                <w:rFonts w:ascii="Times New Roman" w:eastAsia="SimSun" w:hAnsi="Times New Roman"/>
                <w:sz w:val="20"/>
                <w:szCs w:val="20"/>
              </w:rPr>
              <w:t>requirements</w:t>
            </w:r>
          </w:p>
          <w:p w14:paraId="2ED3F6B2" w14:textId="77777777" w:rsidR="007311B6" w:rsidRPr="007311B6" w:rsidRDefault="007311B6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eastAsia="SimSun" w:hAnsi="Times New Roman"/>
                <w:sz w:val="20"/>
                <w:szCs w:val="20"/>
              </w:rPr>
              <w:t xml:space="preserve">Option 1: No necessity to introduce new requirement for in-channel adjacent subband blocking. </w:t>
            </w:r>
          </w:p>
          <w:p w14:paraId="566B9609" w14:textId="62ECBB22" w:rsidR="000D1A15" w:rsidRPr="007311B6" w:rsidRDefault="007311B6" w:rsidP="007311B6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</w:rPr>
            </w:pPr>
            <w:r w:rsidRPr="007311B6">
              <w:rPr>
                <w:rFonts w:ascii="Times New Roman" w:hAnsi="Times New Roman"/>
                <w:sz w:val="20"/>
                <w:szCs w:val="20"/>
              </w:rPr>
              <w:t>Option 2: New requirement for in-channel adjacent subband blocking should be defined.</w:t>
            </w:r>
          </w:p>
        </w:tc>
      </w:tr>
    </w:tbl>
    <w:p w14:paraId="3FA96FCD" w14:textId="77777777" w:rsidR="006141CE" w:rsidRDefault="006141CE" w:rsidP="00275BBE">
      <w:pPr>
        <w:rPr>
          <w:lang w:val="en-GB"/>
        </w:rPr>
      </w:pPr>
    </w:p>
    <w:p w14:paraId="2F194A2C" w14:textId="6A8F6CAA" w:rsidR="00275BBE" w:rsidRDefault="00275BBE" w:rsidP="00275BBE">
      <w:pPr>
        <w:rPr>
          <w:lang w:val="en-GB"/>
        </w:rPr>
      </w:pPr>
      <w:r>
        <w:rPr>
          <w:lang w:val="en-GB"/>
        </w:rPr>
        <w:t xml:space="preserve">Within in-band operation, the in-channel adjacent subband leakage will impact the receiving subband of the same BS. Such leakage might contribute to REFSENSE. It was noted during the SI [3] that OTA REFSENSE will be derived considering self-interference, inter-site and inter-sector interference. The in-channel adjacent subband leakage (selectivity) is the same as the ACLR (ACS), but on a subband in-channel granularity level. Consequently, there is a direct implication of the coexistence scenarios and assumptions on the subband leakage and selectivity definition. </w:t>
      </w:r>
    </w:p>
    <w:p w14:paraId="353D7000" w14:textId="65AA9AAB" w:rsidR="0034473B" w:rsidRDefault="0034473B" w:rsidP="00275BBE">
      <w:pPr>
        <w:rPr>
          <w:lang w:val="en-GB"/>
        </w:rPr>
      </w:pPr>
      <w:r w:rsidRPr="00907F3F">
        <w:rPr>
          <w:lang w:val="en-GB"/>
        </w:rPr>
        <w:t xml:space="preserve">Additionally, </w:t>
      </w:r>
      <w:r>
        <w:rPr>
          <w:lang w:val="en-GB"/>
        </w:rPr>
        <w:t xml:space="preserve">during the study item phase [3], it was for further study whether new requirements will be needed or not. The dependency on the self-interference capability yields the definition of a new inter-subband requirement difficult to agree </w:t>
      </w:r>
      <w:r>
        <w:rPr>
          <w:lang w:val="en-GB"/>
        </w:rPr>
        <w:lastRenderedPageBreak/>
        <w:t xml:space="preserve">between different companies. As observed in Section 9 in [3], different implementations can be assumed between vendors, leading to different self-interference, co-sector interference, and inter-site interference mitigation capabilities. Moreover, employed technologies and mitigation techniques in the SBFD-capable gNB is quite difficult within RAN4, and thus, room for implementation differences should be </w:t>
      </w:r>
      <w:proofErr w:type="gramStart"/>
      <w:r>
        <w:rPr>
          <w:lang w:val="en-GB"/>
        </w:rPr>
        <w:t>taken into account</w:t>
      </w:r>
      <w:proofErr w:type="gramEnd"/>
      <w:r>
        <w:rPr>
          <w:lang w:val="en-GB"/>
        </w:rPr>
        <w:t xml:space="preserve"> when defining the new inter-subband leakage, selectivity, and blocking requirements. As a result, it might be difficult to propose technically meaningful requirements taken into consideration the above aspects. </w:t>
      </w:r>
    </w:p>
    <w:p w14:paraId="783F33AD" w14:textId="5C8CE403" w:rsidR="00275BBE" w:rsidRDefault="00275BBE" w:rsidP="00275BBE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 xml:space="preserve">Observation </w:t>
      </w:r>
      <w:r w:rsidR="00B27162">
        <w:rPr>
          <w:b/>
          <w:bCs/>
          <w:u w:val="single"/>
          <w:lang w:val="en-GB"/>
        </w:rPr>
        <w:t>1</w:t>
      </w:r>
      <w:r w:rsidRPr="002C31C6">
        <w:rPr>
          <w:b/>
          <w:bCs/>
          <w:lang w:val="en-GB"/>
        </w:rPr>
        <w:t>: The in-channel subband sub-band Tx leakage</w:t>
      </w:r>
      <w:r w:rsidR="0034473B">
        <w:rPr>
          <w:b/>
          <w:bCs/>
          <w:lang w:val="en-GB"/>
        </w:rPr>
        <w:t xml:space="preserve">, </w:t>
      </w:r>
      <w:r w:rsidRPr="002C31C6">
        <w:rPr>
          <w:b/>
          <w:bCs/>
          <w:lang w:val="en-GB"/>
        </w:rPr>
        <w:t>selectivity</w:t>
      </w:r>
      <w:r w:rsidR="0034473B">
        <w:rPr>
          <w:b/>
          <w:bCs/>
          <w:lang w:val="en-GB"/>
        </w:rPr>
        <w:t>, and blocking</w:t>
      </w:r>
      <w:r w:rsidRPr="002C31C6">
        <w:rPr>
          <w:b/>
          <w:bCs/>
          <w:lang w:val="en-GB"/>
        </w:rPr>
        <w:t xml:space="preserve"> depend on the self-interference, inter-site and inter-sector interference considerations</w:t>
      </w:r>
      <w:r w:rsidR="0034473B">
        <w:rPr>
          <w:b/>
          <w:bCs/>
          <w:lang w:val="en-GB"/>
        </w:rPr>
        <w:t xml:space="preserve">, thus, they are implementation dependent. </w:t>
      </w:r>
    </w:p>
    <w:p w14:paraId="500D31BE" w14:textId="1114CF9B" w:rsidR="00E13A7C" w:rsidRDefault="00477361" w:rsidP="00275BBE">
      <w:pPr>
        <w:rPr>
          <w:lang w:val="en-GB"/>
        </w:rPr>
      </w:pPr>
      <w:r>
        <w:rPr>
          <w:lang w:val="en-GB"/>
        </w:rPr>
        <w:t xml:space="preserve">Taking into consideration also the techniques introduced by other WGs to address inter-gNB and inter-UE CLI, the definition of new RAN4 requirements should take into consideration such techniques. As a result, we prefer that RAN4 would adopt option 1 in [2], where no new requirements for in-channel leakage, selectivity, and blocking are defined for Rel-19 SBFD-capable gNBs. </w:t>
      </w:r>
    </w:p>
    <w:p w14:paraId="3AF5AD37" w14:textId="60B942B0" w:rsidR="00B27162" w:rsidRPr="00477361" w:rsidRDefault="00477361" w:rsidP="00275BBE">
      <w:pPr>
        <w:rPr>
          <w:b/>
          <w:bCs/>
          <w:lang w:val="en-GB"/>
        </w:rPr>
      </w:pPr>
      <w:r w:rsidRPr="00477361">
        <w:rPr>
          <w:b/>
          <w:bCs/>
          <w:u w:val="single"/>
          <w:lang w:val="en-GB"/>
        </w:rPr>
        <w:t>Proposal 1</w:t>
      </w:r>
      <w:r w:rsidRPr="00477361">
        <w:rPr>
          <w:b/>
          <w:bCs/>
          <w:lang w:val="en-GB"/>
        </w:rPr>
        <w:t>: RAN4 to agree that no new requirements for in-channel leakage, selectivity, and blocking are defined for Rel-19 SBFD-capable gNBs.</w:t>
      </w:r>
    </w:p>
    <w:p w14:paraId="46DCD988" w14:textId="77777777" w:rsidR="00A37CEF" w:rsidRDefault="00A37CEF" w:rsidP="002A0877">
      <w:pPr>
        <w:pStyle w:val="Heading1"/>
        <w:jc w:val="both"/>
      </w:pPr>
      <w:r>
        <w:t>Conclusion</w:t>
      </w:r>
    </w:p>
    <w:p w14:paraId="21920010" w14:textId="1F037FE9" w:rsidR="00A37CEF" w:rsidRDefault="00A37CEF" w:rsidP="002A0877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CE7110">
        <w:t xml:space="preserve">BS RF </w:t>
      </w:r>
      <w:r w:rsidR="004F2C94">
        <w:t>require</w:t>
      </w:r>
      <w:r w:rsidR="00CE7110">
        <w:t xml:space="preserve">ments for SBFD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6A7AF98B" w14:textId="77777777" w:rsidR="00477361" w:rsidRDefault="00477361" w:rsidP="00477361">
      <w:pPr>
        <w:rPr>
          <w:b/>
          <w:bCs/>
          <w:lang w:val="en-GB"/>
        </w:rPr>
      </w:pPr>
      <w:r w:rsidRPr="0099526C">
        <w:rPr>
          <w:b/>
          <w:bCs/>
          <w:u w:val="single"/>
          <w:lang w:val="en-GB"/>
        </w:rPr>
        <w:t xml:space="preserve">Observation </w:t>
      </w:r>
      <w:r>
        <w:rPr>
          <w:b/>
          <w:bCs/>
          <w:u w:val="single"/>
          <w:lang w:val="en-GB"/>
        </w:rPr>
        <w:t>1</w:t>
      </w:r>
      <w:r w:rsidRPr="002C31C6">
        <w:rPr>
          <w:b/>
          <w:bCs/>
          <w:lang w:val="en-GB"/>
        </w:rPr>
        <w:t>: The in-channel subband sub-band Tx leakage</w:t>
      </w:r>
      <w:r>
        <w:rPr>
          <w:b/>
          <w:bCs/>
          <w:lang w:val="en-GB"/>
        </w:rPr>
        <w:t xml:space="preserve">, </w:t>
      </w:r>
      <w:r w:rsidRPr="002C31C6">
        <w:rPr>
          <w:b/>
          <w:bCs/>
          <w:lang w:val="en-GB"/>
        </w:rPr>
        <w:t>selectivity</w:t>
      </w:r>
      <w:r>
        <w:rPr>
          <w:b/>
          <w:bCs/>
          <w:lang w:val="en-GB"/>
        </w:rPr>
        <w:t>, and blocking</w:t>
      </w:r>
      <w:r w:rsidRPr="002C31C6">
        <w:rPr>
          <w:b/>
          <w:bCs/>
          <w:lang w:val="en-GB"/>
        </w:rPr>
        <w:t xml:space="preserve"> depend on the self-interference, inter-site and inter-sector interference considerations</w:t>
      </w:r>
      <w:r>
        <w:rPr>
          <w:b/>
          <w:bCs/>
          <w:lang w:val="en-GB"/>
        </w:rPr>
        <w:t xml:space="preserve">, thus, they are implementation dependent. </w:t>
      </w:r>
    </w:p>
    <w:p w14:paraId="1EC0B646" w14:textId="1BE447D7" w:rsidR="00477361" w:rsidRDefault="00477361" w:rsidP="00477361">
      <w:pPr>
        <w:rPr>
          <w:b/>
          <w:bCs/>
          <w:lang w:val="en-GB"/>
        </w:rPr>
      </w:pPr>
      <w:r w:rsidRPr="00477361">
        <w:rPr>
          <w:b/>
          <w:bCs/>
          <w:u w:val="single"/>
          <w:lang w:val="en-GB"/>
        </w:rPr>
        <w:t>Proposal 1</w:t>
      </w:r>
      <w:r w:rsidRPr="00477361">
        <w:rPr>
          <w:b/>
          <w:bCs/>
          <w:lang w:val="en-GB"/>
        </w:rPr>
        <w:t>: RAN4 to agree that no new requirements for in-channel leakage, selectivity, and blocking are defined for Rel-19 SBFD-capable gNBs.</w:t>
      </w:r>
    </w:p>
    <w:p w14:paraId="2B7C1C2C" w14:textId="77777777" w:rsidR="00A37CEF" w:rsidRPr="00D54742" w:rsidRDefault="00A37CEF" w:rsidP="002A0877">
      <w:pPr>
        <w:pStyle w:val="Heading1"/>
        <w:jc w:val="both"/>
      </w:pPr>
      <w:r>
        <w:t>References</w:t>
      </w:r>
    </w:p>
    <w:p w14:paraId="7731A293" w14:textId="77777777" w:rsidR="00F16740" w:rsidRDefault="00F16740" w:rsidP="00F1674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4" w:name="_Ref47616084"/>
      <w:bookmarkStart w:id="5" w:name="_Ref32439522"/>
      <w:r w:rsidRPr="00753211">
        <w:rPr>
          <w:szCs w:val="20"/>
          <w:lang w:val="en-GB"/>
        </w:rPr>
        <w:t>RP-240789</w:t>
      </w:r>
      <w:r w:rsidRPr="005C32DA">
        <w:rPr>
          <w:szCs w:val="20"/>
          <w:lang w:val="en-GB"/>
        </w:rPr>
        <w:t xml:space="preserve"> </w:t>
      </w:r>
      <w:r w:rsidRPr="00785E35">
        <w:rPr>
          <w:szCs w:val="20"/>
          <w:lang w:val="en-GB"/>
        </w:rPr>
        <w:t>“</w:t>
      </w:r>
      <w:r>
        <w:rPr>
          <w:szCs w:val="20"/>
          <w:lang w:val="en-GB"/>
        </w:rPr>
        <w:t>Revised</w:t>
      </w:r>
      <w:r w:rsidRPr="005945B3">
        <w:rPr>
          <w:szCs w:val="20"/>
          <w:lang w:val="en-GB"/>
        </w:rPr>
        <w:t xml:space="preserve"> WID: Evolution of NR duplex operation: Sub-band full duplex (SBFD)</w:t>
      </w:r>
      <w:r w:rsidRPr="00785E35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>Huawei, HiSilicon</w:t>
      </w:r>
      <w:r w:rsidRPr="00785E35">
        <w:rPr>
          <w:szCs w:val="20"/>
          <w:lang w:val="en-GB"/>
        </w:rPr>
        <w:t xml:space="preserve">, </w:t>
      </w:r>
      <w:r w:rsidRPr="003E1C6B">
        <w:rPr>
          <w:szCs w:val="20"/>
          <w:lang w:val="en-GB"/>
        </w:rPr>
        <w:t>3GPP TSG RAN#</w:t>
      </w:r>
      <w:r>
        <w:rPr>
          <w:szCs w:val="20"/>
          <w:lang w:val="en-GB"/>
        </w:rPr>
        <w:t>103</w:t>
      </w:r>
      <w:r w:rsidRPr="00785E35">
        <w:rPr>
          <w:szCs w:val="20"/>
          <w:lang w:val="en-GB"/>
        </w:rPr>
        <w:t>.</w:t>
      </w:r>
      <w:bookmarkEnd w:id="4"/>
    </w:p>
    <w:p w14:paraId="4636D3AB" w14:textId="77777777" w:rsidR="00F16740" w:rsidRDefault="00F16740" w:rsidP="00F1674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CC6801">
        <w:rPr>
          <w:szCs w:val="20"/>
          <w:lang w:val="en-GB"/>
        </w:rPr>
        <w:t>R4-2413514</w:t>
      </w:r>
      <w:r w:rsidRPr="00A37CEF">
        <w:rPr>
          <w:szCs w:val="20"/>
          <w:lang w:val="en-GB"/>
        </w:rPr>
        <w:t>, “</w:t>
      </w:r>
      <w:r w:rsidRPr="00F10AFF">
        <w:rPr>
          <w:szCs w:val="20"/>
          <w:lang w:val="en-GB"/>
        </w:rPr>
        <w:t>Way Forward for [112][307] NR_duplex_evo_General</w:t>
      </w:r>
      <w:r w:rsidRPr="00A37CEF">
        <w:rPr>
          <w:szCs w:val="20"/>
          <w:lang w:val="en-GB"/>
        </w:rPr>
        <w:t xml:space="preserve">”, </w:t>
      </w:r>
      <w:r>
        <w:rPr>
          <w:szCs w:val="20"/>
          <w:lang w:val="en-GB"/>
        </w:rPr>
        <w:t>RAN4#112, Samsung</w:t>
      </w:r>
      <w:r w:rsidRPr="00A37CEF">
        <w:rPr>
          <w:szCs w:val="20"/>
          <w:lang w:val="en-GB"/>
        </w:rPr>
        <w:t xml:space="preserve">. </w:t>
      </w:r>
    </w:p>
    <w:p w14:paraId="4063211C" w14:textId="77777777" w:rsidR="00F16740" w:rsidRPr="009C07A6" w:rsidRDefault="00F16740" w:rsidP="00F1674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F36755">
        <w:rPr>
          <w:szCs w:val="20"/>
          <w:lang w:val="en-GB"/>
        </w:rPr>
        <w:t>R4-2413407</w:t>
      </w:r>
      <w:r w:rsidRPr="001218B6">
        <w:rPr>
          <w:szCs w:val="20"/>
          <w:lang w:val="en-GB"/>
        </w:rPr>
        <w:t>, “</w:t>
      </w:r>
      <w:r w:rsidRPr="00D2249C">
        <w:rPr>
          <w:szCs w:val="20"/>
          <w:lang w:val="en-GB"/>
        </w:rPr>
        <w:t>Topic summary for [112][307] NR_duplex_evo_General</w:t>
      </w:r>
      <w:r w:rsidRPr="001218B6">
        <w:rPr>
          <w:szCs w:val="20"/>
          <w:lang w:val="en-GB"/>
        </w:rPr>
        <w:t>”, RAN4#11</w:t>
      </w:r>
      <w:r>
        <w:rPr>
          <w:szCs w:val="20"/>
          <w:lang w:val="en-GB"/>
        </w:rPr>
        <w:t>2</w:t>
      </w:r>
      <w:r w:rsidRPr="001218B6">
        <w:rPr>
          <w:szCs w:val="20"/>
          <w:lang w:val="en-GB"/>
        </w:rPr>
        <w:t>, Samsung.</w:t>
      </w:r>
    </w:p>
    <w:bookmarkEnd w:id="5"/>
    <w:p w14:paraId="35FA0EC8" w14:textId="77777777" w:rsidR="00F16740" w:rsidRDefault="00F16740" w:rsidP="00F16740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r w:rsidRPr="00A37CEF">
        <w:rPr>
          <w:szCs w:val="20"/>
          <w:lang w:val="en-GB"/>
        </w:rPr>
        <w:t xml:space="preserve">TR 38.858, “Study on evolution of NR duplex operation”, 3GPP. </w:t>
      </w:r>
    </w:p>
    <w:p w14:paraId="7547DE2D" w14:textId="77777777" w:rsidR="00A37CEF" w:rsidRDefault="00A37CEF" w:rsidP="002A0877">
      <w:pPr>
        <w:jc w:val="both"/>
      </w:pPr>
    </w:p>
    <w:sectPr w:rsidR="00A37CEF" w:rsidSect="00370B5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20351" w14:textId="77777777" w:rsidR="00DE6320" w:rsidRDefault="00DE6320">
      <w:pPr>
        <w:spacing w:after="0"/>
      </w:pPr>
      <w:r>
        <w:separator/>
      </w:r>
    </w:p>
  </w:endnote>
  <w:endnote w:type="continuationSeparator" w:id="0">
    <w:p w14:paraId="4F21BE9F" w14:textId="77777777" w:rsidR="00DE6320" w:rsidRDefault="00DE63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E0536" w14:textId="77777777" w:rsidR="00DE6320" w:rsidRDefault="00DE6320">
      <w:pPr>
        <w:spacing w:after="0"/>
      </w:pPr>
      <w:r>
        <w:separator/>
      </w:r>
    </w:p>
  </w:footnote>
  <w:footnote w:type="continuationSeparator" w:id="0">
    <w:p w14:paraId="5C609C31" w14:textId="77777777" w:rsidR="00DE6320" w:rsidRDefault="00DE63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0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16"/>
  </w:num>
  <w:num w:numId="5" w16cid:durableId="1753619575">
    <w:abstractNumId w:val="21"/>
  </w:num>
  <w:num w:numId="6" w16cid:durableId="528227147">
    <w:abstractNumId w:val="6"/>
  </w:num>
  <w:num w:numId="7" w16cid:durableId="1151141409">
    <w:abstractNumId w:val="23"/>
  </w:num>
  <w:num w:numId="8" w16cid:durableId="1326208731">
    <w:abstractNumId w:val="20"/>
  </w:num>
  <w:num w:numId="9" w16cid:durableId="2096242991">
    <w:abstractNumId w:val="17"/>
  </w:num>
  <w:num w:numId="10" w16cid:durableId="964656557">
    <w:abstractNumId w:val="22"/>
  </w:num>
  <w:num w:numId="11" w16cid:durableId="724842134">
    <w:abstractNumId w:val="5"/>
  </w:num>
  <w:num w:numId="12" w16cid:durableId="1263489318">
    <w:abstractNumId w:val="29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7"/>
  </w:num>
  <w:num w:numId="16" w16cid:durableId="1700426356">
    <w:abstractNumId w:val="8"/>
  </w:num>
  <w:num w:numId="17" w16cid:durableId="517815193">
    <w:abstractNumId w:val="9"/>
  </w:num>
  <w:num w:numId="18" w16cid:durableId="1275752242">
    <w:abstractNumId w:val="19"/>
  </w:num>
  <w:num w:numId="19" w16cid:durableId="1417093260">
    <w:abstractNumId w:val="15"/>
  </w:num>
  <w:num w:numId="20" w16cid:durableId="925773427">
    <w:abstractNumId w:val="27"/>
  </w:num>
  <w:num w:numId="21" w16cid:durableId="306326423">
    <w:abstractNumId w:val="3"/>
  </w:num>
  <w:num w:numId="22" w16cid:durableId="1262372539">
    <w:abstractNumId w:val="14"/>
  </w:num>
  <w:num w:numId="23" w16cid:durableId="634524535">
    <w:abstractNumId w:val="13"/>
  </w:num>
  <w:num w:numId="24" w16cid:durableId="1509710620">
    <w:abstractNumId w:val="26"/>
  </w:num>
  <w:num w:numId="25" w16cid:durableId="475488186">
    <w:abstractNumId w:val="25"/>
  </w:num>
  <w:num w:numId="26" w16cid:durableId="577984225">
    <w:abstractNumId w:val="18"/>
  </w:num>
  <w:num w:numId="27" w16cid:durableId="236524678">
    <w:abstractNumId w:val="28"/>
  </w:num>
  <w:num w:numId="28" w16cid:durableId="1915163336">
    <w:abstractNumId w:val="11"/>
  </w:num>
  <w:num w:numId="29" w16cid:durableId="1180585837">
    <w:abstractNumId w:val="12"/>
  </w:num>
  <w:num w:numId="30" w16cid:durableId="1309521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2BE6"/>
    <w:rsid w:val="00004ACF"/>
    <w:rsid w:val="00011B8F"/>
    <w:rsid w:val="00042F87"/>
    <w:rsid w:val="00046278"/>
    <w:rsid w:val="000522DE"/>
    <w:rsid w:val="00071946"/>
    <w:rsid w:val="0007385C"/>
    <w:rsid w:val="00097DDE"/>
    <w:rsid w:val="000B045F"/>
    <w:rsid w:val="000B0B8C"/>
    <w:rsid w:val="000D1A15"/>
    <w:rsid w:val="000E1A1B"/>
    <w:rsid w:val="0010208B"/>
    <w:rsid w:val="00110C08"/>
    <w:rsid w:val="00125EDD"/>
    <w:rsid w:val="00127E88"/>
    <w:rsid w:val="00146ED2"/>
    <w:rsid w:val="00154124"/>
    <w:rsid w:val="001663D5"/>
    <w:rsid w:val="0017600B"/>
    <w:rsid w:val="001828E1"/>
    <w:rsid w:val="0018724C"/>
    <w:rsid w:val="001A2890"/>
    <w:rsid w:val="001B0613"/>
    <w:rsid w:val="001C19F4"/>
    <w:rsid w:val="001F7C18"/>
    <w:rsid w:val="0020337F"/>
    <w:rsid w:val="00205B4B"/>
    <w:rsid w:val="00214068"/>
    <w:rsid w:val="00222793"/>
    <w:rsid w:val="002267C4"/>
    <w:rsid w:val="00226BAA"/>
    <w:rsid w:val="00227A45"/>
    <w:rsid w:val="0023172D"/>
    <w:rsid w:val="002415E8"/>
    <w:rsid w:val="00253E95"/>
    <w:rsid w:val="002559EB"/>
    <w:rsid w:val="002661E3"/>
    <w:rsid w:val="00271968"/>
    <w:rsid w:val="00275272"/>
    <w:rsid w:val="00275BBE"/>
    <w:rsid w:val="00275C28"/>
    <w:rsid w:val="00285987"/>
    <w:rsid w:val="002904E7"/>
    <w:rsid w:val="002A0877"/>
    <w:rsid w:val="002A48E5"/>
    <w:rsid w:val="002B37C9"/>
    <w:rsid w:val="002C31C6"/>
    <w:rsid w:val="002E21FA"/>
    <w:rsid w:val="002E379C"/>
    <w:rsid w:val="002E68AC"/>
    <w:rsid w:val="002E7C21"/>
    <w:rsid w:val="002F3C21"/>
    <w:rsid w:val="00301325"/>
    <w:rsid w:val="00302B97"/>
    <w:rsid w:val="0030660F"/>
    <w:rsid w:val="0031380B"/>
    <w:rsid w:val="0031595A"/>
    <w:rsid w:val="0032021E"/>
    <w:rsid w:val="00323D8C"/>
    <w:rsid w:val="00341CB4"/>
    <w:rsid w:val="0034356A"/>
    <w:rsid w:val="0034473B"/>
    <w:rsid w:val="00367D24"/>
    <w:rsid w:val="00370B59"/>
    <w:rsid w:val="00372ECA"/>
    <w:rsid w:val="0038374B"/>
    <w:rsid w:val="0039127D"/>
    <w:rsid w:val="003A141C"/>
    <w:rsid w:val="003A2407"/>
    <w:rsid w:val="003A66A2"/>
    <w:rsid w:val="003B0C33"/>
    <w:rsid w:val="003B1FFF"/>
    <w:rsid w:val="003B2015"/>
    <w:rsid w:val="003C7439"/>
    <w:rsid w:val="003E41D4"/>
    <w:rsid w:val="00401DF9"/>
    <w:rsid w:val="00403187"/>
    <w:rsid w:val="0042090E"/>
    <w:rsid w:val="00421E71"/>
    <w:rsid w:val="00422733"/>
    <w:rsid w:val="00422C13"/>
    <w:rsid w:val="004563FB"/>
    <w:rsid w:val="00460441"/>
    <w:rsid w:val="00477361"/>
    <w:rsid w:val="004945D2"/>
    <w:rsid w:val="004A56D0"/>
    <w:rsid w:val="004B0D97"/>
    <w:rsid w:val="004C1401"/>
    <w:rsid w:val="004D0585"/>
    <w:rsid w:val="004F2C94"/>
    <w:rsid w:val="00504B42"/>
    <w:rsid w:val="00510EC7"/>
    <w:rsid w:val="00511429"/>
    <w:rsid w:val="00516597"/>
    <w:rsid w:val="00516DAF"/>
    <w:rsid w:val="00523634"/>
    <w:rsid w:val="0052648A"/>
    <w:rsid w:val="00531E79"/>
    <w:rsid w:val="00540B8E"/>
    <w:rsid w:val="00543697"/>
    <w:rsid w:val="00543C13"/>
    <w:rsid w:val="00556286"/>
    <w:rsid w:val="00556880"/>
    <w:rsid w:val="00560D4B"/>
    <w:rsid w:val="005752C8"/>
    <w:rsid w:val="00582C3B"/>
    <w:rsid w:val="00586E75"/>
    <w:rsid w:val="00593642"/>
    <w:rsid w:val="005C6CB9"/>
    <w:rsid w:val="005D66C2"/>
    <w:rsid w:val="005E52BB"/>
    <w:rsid w:val="005F730B"/>
    <w:rsid w:val="006141CE"/>
    <w:rsid w:val="00633543"/>
    <w:rsid w:val="0064631E"/>
    <w:rsid w:val="00664464"/>
    <w:rsid w:val="00667B84"/>
    <w:rsid w:val="006727BE"/>
    <w:rsid w:val="006738CE"/>
    <w:rsid w:val="00675CB8"/>
    <w:rsid w:val="00676CAA"/>
    <w:rsid w:val="00680CA4"/>
    <w:rsid w:val="006818F8"/>
    <w:rsid w:val="006855AC"/>
    <w:rsid w:val="00690ED5"/>
    <w:rsid w:val="00692032"/>
    <w:rsid w:val="006A7447"/>
    <w:rsid w:val="006A76FE"/>
    <w:rsid w:val="006B0E0F"/>
    <w:rsid w:val="006B167F"/>
    <w:rsid w:val="006B2638"/>
    <w:rsid w:val="006C7E4F"/>
    <w:rsid w:val="006D2AFF"/>
    <w:rsid w:val="006E0AE9"/>
    <w:rsid w:val="006F730F"/>
    <w:rsid w:val="007018D8"/>
    <w:rsid w:val="00705014"/>
    <w:rsid w:val="0070632C"/>
    <w:rsid w:val="0072106E"/>
    <w:rsid w:val="007311B6"/>
    <w:rsid w:val="00733995"/>
    <w:rsid w:val="00752961"/>
    <w:rsid w:val="00753211"/>
    <w:rsid w:val="007621D1"/>
    <w:rsid w:val="0076351B"/>
    <w:rsid w:val="00771053"/>
    <w:rsid w:val="00773780"/>
    <w:rsid w:val="00777074"/>
    <w:rsid w:val="00797682"/>
    <w:rsid w:val="007E3189"/>
    <w:rsid w:val="007E49C0"/>
    <w:rsid w:val="007F13E3"/>
    <w:rsid w:val="00801478"/>
    <w:rsid w:val="00812AFE"/>
    <w:rsid w:val="00816D3E"/>
    <w:rsid w:val="00821175"/>
    <w:rsid w:val="0082235C"/>
    <w:rsid w:val="00825345"/>
    <w:rsid w:val="00825F5E"/>
    <w:rsid w:val="00890214"/>
    <w:rsid w:val="0089771A"/>
    <w:rsid w:val="008B00FC"/>
    <w:rsid w:val="008C20CD"/>
    <w:rsid w:val="008C608C"/>
    <w:rsid w:val="008D6DE6"/>
    <w:rsid w:val="008E007A"/>
    <w:rsid w:val="008F1778"/>
    <w:rsid w:val="009015C8"/>
    <w:rsid w:val="00904E4C"/>
    <w:rsid w:val="0090669B"/>
    <w:rsid w:val="00907F3F"/>
    <w:rsid w:val="009169F8"/>
    <w:rsid w:val="00925A3A"/>
    <w:rsid w:val="0093198E"/>
    <w:rsid w:val="0093672C"/>
    <w:rsid w:val="0094195C"/>
    <w:rsid w:val="00946833"/>
    <w:rsid w:val="009534D5"/>
    <w:rsid w:val="00971CC2"/>
    <w:rsid w:val="00975340"/>
    <w:rsid w:val="00984C63"/>
    <w:rsid w:val="0099526C"/>
    <w:rsid w:val="009C07A6"/>
    <w:rsid w:val="009C497B"/>
    <w:rsid w:val="009D3DFA"/>
    <w:rsid w:val="009D6FE1"/>
    <w:rsid w:val="009E5680"/>
    <w:rsid w:val="009F0F3F"/>
    <w:rsid w:val="009F1412"/>
    <w:rsid w:val="00A06F1C"/>
    <w:rsid w:val="00A22A4B"/>
    <w:rsid w:val="00A25A5D"/>
    <w:rsid w:val="00A272D9"/>
    <w:rsid w:val="00A333A3"/>
    <w:rsid w:val="00A3361D"/>
    <w:rsid w:val="00A37CEF"/>
    <w:rsid w:val="00A4195F"/>
    <w:rsid w:val="00A5423E"/>
    <w:rsid w:val="00A60640"/>
    <w:rsid w:val="00A7799D"/>
    <w:rsid w:val="00A951B5"/>
    <w:rsid w:val="00A96DB3"/>
    <w:rsid w:val="00AA6CCC"/>
    <w:rsid w:val="00AC7ACA"/>
    <w:rsid w:val="00AD546F"/>
    <w:rsid w:val="00AD55E4"/>
    <w:rsid w:val="00AE1C58"/>
    <w:rsid w:val="00AF207B"/>
    <w:rsid w:val="00AF2ADB"/>
    <w:rsid w:val="00AF54AA"/>
    <w:rsid w:val="00AF6269"/>
    <w:rsid w:val="00B03D24"/>
    <w:rsid w:val="00B27162"/>
    <w:rsid w:val="00B35350"/>
    <w:rsid w:val="00B40F6E"/>
    <w:rsid w:val="00B42B77"/>
    <w:rsid w:val="00B4571C"/>
    <w:rsid w:val="00B52C0B"/>
    <w:rsid w:val="00B54521"/>
    <w:rsid w:val="00B6421A"/>
    <w:rsid w:val="00B65869"/>
    <w:rsid w:val="00B671A2"/>
    <w:rsid w:val="00B8218A"/>
    <w:rsid w:val="00BB0D7F"/>
    <w:rsid w:val="00BC19E0"/>
    <w:rsid w:val="00BC26B2"/>
    <w:rsid w:val="00BC29C5"/>
    <w:rsid w:val="00BF05C4"/>
    <w:rsid w:val="00BF3F6A"/>
    <w:rsid w:val="00C23752"/>
    <w:rsid w:val="00C42092"/>
    <w:rsid w:val="00C476F7"/>
    <w:rsid w:val="00C82506"/>
    <w:rsid w:val="00CC3ED4"/>
    <w:rsid w:val="00CC5B9A"/>
    <w:rsid w:val="00CC5FFA"/>
    <w:rsid w:val="00CD1ACE"/>
    <w:rsid w:val="00CE7110"/>
    <w:rsid w:val="00CF325A"/>
    <w:rsid w:val="00CF3E04"/>
    <w:rsid w:val="00CF75D3"/>
    <w:rsid w:val="00D25E76"/>
    <w:rsid w:val="00D3736F"/>
    <w:rsid w:val="00D60509"/>
    <w:rsid w:val="00D81C2B"/>
    <w:rsid w:val="00DA31C3"/>
    <w:rsid w:val="00DC004D"/>
    <w:rsid w:val="00DE0ACD"/>
    <w:rsid w:val="00DE6320"/>
    <w:rsid w:val="00DF05E5"/>
    <w:rsid w:val="00DF4BCD"/>
    <w:rsid w:val="00E010D1"/>
    <w:rsid w:val="00E02445"/>
    <w:rsid w:val="00E0451E"/>
    <w:rsid w:val="00E13A7C"/>
    <w:rsid w:val="00E210C6"/>
    <w:rsid w:val="00E242F2"/>
    <w:rsid w:val="00E307AE"/>
    <w:rsid w:val="00E324D7"/>
    <w:rsid w:val="00E4434F"/>
    <w:rsid w:val="00E51887"/>
    <w:rsid w:val="00E549B2"/>
    <w:rsid w:val="00E57003"/>
    <w:rsid w:val="00E5796C"/>
    <w:rsid w:val="00E60F3D"/>
    <w:rsid w:val="00E751F4"/>
    <w:rsid w:val="00E76E43"/>
    <w:rsid w:val="00E8553E"/>
    <w:rsid w:val="00E97104"/>
    <w:rsid w:val="00EA3C4E"/>
    <w:rsid w:val="00EA7DF6"/>
    <w:rsid w:val="00EB7153"/>
    <w:rsid w:val="00ED7681"/>
    <w:rsid w:val="00EE146F"/>
    <w:rsid w:val="00EF442F"/>
    <w:rsid w:val="00EF476A"/>
    <w:rsid w:val="00EF49CD"/>
    <w:rsid w:val="00F0171B"/>
    <w:rsid w:val="00F0613B"/>
    <w:rsid w:val="00F12745"/>
    <w:rsid w:val="00F16740"/>
    <w:rsid w:val="00F44EF7"/>
    <w:rsid w:val="00F46287"/>
    <w:rsid w:val="00F47183"/>
    <w:rsid w:val="00F5459B"/>
    <w:rsid w:val="00F74FA8"/>
    <w:rsid w:val="00F8145A"/>
    <w:rsid w:val="00F965A9"/>
    <w:rsid w:val="00FA4705"/>
    <w:rsid w:val="00FA77C8"/>
    <w:rsid w:val="00FC4FAD"/>
    <w:rsid w:val="00FC7347"/>
    <w:rsid w:val="00FD4B25"/>
    <w:rsid w:val="00FE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uiPriority w:val="99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semiHidden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1929</TotalTime>
  <Pages>2</Pages>
  <Words>727</Words>
  <Characters>4144</Characters>
  <Application>Microsoft Office Word</Application>
  <DocSecurity>0</DocSecurity>
  <Lines>34</Lines>
  <Paragraphs>9</Paragraphs>
  <ScaleCrop>false</ScaleCrop>
  <Company>Qualcomm Incorporated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286</cp:revision>
  <dcterms:created xsi:type="dcterms:W3CDTF">2024-03-19T10:25:00Z</dcterms:created>
  <dcterms:modified xsi:type="dcterms:W3CDTF">2024-10-07T11:05:00Z</dcterms:modified>
</cp:coreProperties>
</file>